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pPr>
      <w:bookmarkStart w:id="0" w:name="_GoBack"/>
      <w:bookmarkEnd w:id="0"/>
    </w:p>
    <w:p>
      <w:pPr>
        <w:pStyle w:val="2"/>
        <w:jc w:val="center"/>
        <w:rPr>
          <w:rFonts w:ascii="方正大标宋_GBK" w:hAnsi="方正大标宋_GBK" w:eastAsia="方正大标宋_GBK" w:cs="方正大标宋_GBK"/>
          <w:sz w:val="68"/>
          <w:szCs w:val="68"/>
        </w:rPr>
      </w:pPr>
      <w:r>
        <w:rPr>
          <w:rFonts w:ascii="Times New Roman" w:hAnsi="Times New Roman" w:eastAsia="方正大标宋_GBK" w:cs="Times New Roman"/>
          <w:sz w:val="68"/>
          <w:szCs w:val="68"/>
        </w:rPr>
        <w:t>武汉大学</w:t>
      </w:r>
      <w:r>
        <w:rPr>
          <w:rFonts w:hint="eastAsia" w:ascii="方正大标宋_GBK" w:hAnsi="方正大标宋_GBK" w:eastAsia="方正大标宋_GBK" w:cs="方正大标宋_GBK"/>
          <w:sz w:val="68"/>
          <w:szCs w:val="68"/>
        </w:rPr>
        <w:t>实验室负责人</w:t>
      </w:r>
    </w:p>
    <w:p>
      <w:pPr>
        <w:pStyle w:val="2"/>
        <w:jc w:val="center"/>
        <w:rPr>
          <w:sz w:val="68"/>
          <w:szCs w:val="68"/>
        </w:rPr>
      </w:pPr>
      <w:r>
        <w:rPr>
          <w:rFonts w:hint="eastAsia" w:ascii="Times New Roman" w:hAnsi="Times New Roman" w:eastAsia="方正大标宋_GBK" w:cs="Times New Roman"/>
          <w:sz w:val="68"/>
          <w:szCs w:val="68"/>
          <w:u w:val="single"/>
        </w:rPr>
        <w:t xml:space="preserve">      </w:t>
      </w:r>
      <w:r>
        <w:rPr>
          <w:rFonts w:ascii="Times New Roman" w:hAnsi="Times New Roman" w:eastAsia="方正大标宋_GBK" w:cs="Times New Roman"/>
          <w:sz w:val="68"/>
          <w:szCs w:val="68"/>
        </w:rPr>
        <w:t>年度</w:t>
      </w:r>
      <w:r>
        <w:rPr>
          <w:rFonts w:hint="eastAsia" w:ascii="Times New Roman" w:hAnsi="Times New Roman" w:eastAsia="方正大标宋_GBK" w:cs="Times New Roman"/>
          <w:sz w:val="68"/>
          <w:szCs w:val="68"/>
        </w:rPr>
        <w:t>实验室安全</w:t>
      </w:r>
      <w:r>
        <w:rPr>
          <w:rFonts w:ascii="Times New Roman" w:hAnsi="Times New Roman" w:eastAsia="方正大标宋_GBK" w:cs="Times New Roman"/>
          <w:sz w:val="68"/>
          <w:szCs w:val="68"/>
        </w:rPr>
        <w:br w:type="textWrapping"/>
      </w:r>
    </w:p>
    <w:p>
      <w:pPr>
        <w:jc w:val="center"/>
        <w:rPr>
          <w:b/>
          <w:sz w:val="30"/>
          <w:szCs w:val="30"/>
        </w:rPr>
      </w:pPr>
    </w:p>
    <w:p>
      <w:pPr>
        <w:jc w:val="center"/>
        <w:rPr>
          <w:b/>
          <w:sz w:val="30"/>
          <w:szCs w:val="30"/>
        </w:rPr>
      </w:pPr>
    </w:p>
    <w:p>
      <w:pPr>
        <w:spacing w:line="1600" w:lineRule="exact"/>
        <w:jc w:val="center"/>
        <w:rPr>
          <w:rFonts w:ascii="方正大标宋_GBK" w:hAnsi="方正大标宋_GBK" w:eastAsia="方正大标宋_GBK" w:cs="方正大标宋_GBK"/>
          <w:b/>
          <w:sz w:val="96"/>
          <w:szCs w:val="96"/>
        </w:rPr>
      </w:pPr>
      <w:r>
        <w:rPr>
          <w:rFonts w:hint="eastAsia" w:ascii="方正大标宋_GBK" w:hAnsi="方正大标宋_GBK" w:eastAsia="方正大标宋_GBK" w:cs="方正大标宋_GBK"/>
          <w:b/>
          <w:sz w:val="96"/>
          <w:szCs w:val="96"/>
        </w:rPr>
        <w:t>责</w:t>
      </w:r>
    </w:p>
    <w:p>
      <w:pPr>
        <w:spacing w:line="1600" w:lineRule="exact"/>
        <w:jc w:val="center"/>
        <w:rPr>
          <w:rFonts w:ascii="方正大标宋_GBK" w:hAnsi="方正大标宋_GBK" w:eastAsia="方正大标宋_GBK" w:cs="方正大标宋_GBK"/>
          <w:b/>
          <w:sz w:val="96"/>
          <w:szCs w:val="96"/>
        </w:rPr>
      </w:pPr>
      <w:r>
        <w:rPr>
          <w:rFonts w:hint="eastAsia" w:ascii="方正大标宋_GBK" w:hAnsi="方正大标宋_GBK" w:eastAsia="方正大标宋_GBK" w:cs="方正大标宋_GBK"/>
          <w:b/>
          <w:sz w:val="96"/>
          <w:szCs w:val="96"/>
        </w:rPr>
        <w:t>任</w:t>
      </w:r>
    </w:p>
    <w:p>
      <w:pPr>
        <w:spacing w:line="1600" w:lineRule="exact"/>
        <w:jc w:val="center"/>
        <w:rPr>
          <w:rFonts w:ascii="方正大标宋_GBK" w:hAnsi="方正大标宋_GBK" w:eastAsia="方正大标宋_GBK" w:cs="方正大标宋_GBK"/>
          <w:b/>
          <w:sz w:val="96"/>
          <w:szCs w:val="96"/>
        </w:rPr>
      </w:pPr>
      <w:r>
        <w:rPr>
          <w:rFonts w:hint="eastAsia" w:ascii="方正大标宋_GBK" w:hAnsi="方正大标宋_GBK" w:eastAsia="方正大标宋_GBK" w:cs="方正大标宋_GBK"/>
          <w:b/>
          <w:sz w:val="96"/>
          <w:szCs w:val="96"/>
        </w:rPr>
        <w:t>书</w:t>
      </w:r>
    </w:p>
    <w:p>
      <w:pPr>
        <w:jc w:val="center"/>
        <w:rPr>
          <w:b/>
          <w:sz w:val="30"/>
          <w:szCs w:val="30"/>
        </w:rPr>
      </w:pPr>
    </w:p>
    <w:p>
      <w:pPr>
        <w:jc w:val="center"/>
        <w:rPr>
          <w:b/>
          <w:sz w:val="30"/>
          <w:szCs w:val="30"/>
        </w:rPr>
      </w:pPr>
    </w:p>
    <w:p>
      <w:pPr>
        <w:jc w:val="center"/>
        <w:rPr>
          <w:b/>
          <w:sz w:val="30"/>
          <w:szCs w:val="30"/>
        </w:rPr>
      </w:pPr>
    </w:p>
    <w:p>
      <w:pPr>
        <w:jc w:val="center"/>
        <w:rPr>
          <w:b/>
          <w:sz w:val="30"/>
          <w:szCs w:val="30"/>
        </w:rPr>
      </w:pP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二</w:t>
      </w:r>
      <w:r>
        <w:rPr>
          <w:rFonts w:hint="eastAsia" w:ascii="Times New Roman" w:hAnsi="Times New Roman" w:eastAsia="黑体" w:cs="Times New Roman"/>
          <w:b/>
          <w:sz w:val="44"/>
          <w:szCs w:val="44"/>
        </w:rPr>
        <w:t>○</w:t>
      </w:r>
      <w:r>
        <w:rPr>
          <w:rFonts w:hint="eastAsia" w:ascii="Times New Roman" w:hAnsi="Times New Roman" w:eastAsia="黑体" w:cs="Times New Roman"/>
          <w:b/>
          <w:sz w:val="44"/>
          <w:szCs w:val="44"/>
          <w:u w:val="single"/>
        </w:rPr>
        <w:t xml:space="preserve">   </w:t>
      </w:r>
      <w:r>
        <w:rPr>
          <w:rFonts w:ascii="Times New Roman" w:hAnsi="Times New Roman" w:eastAsia="黑体" w:cs="Times New Roman"/>
          <w:b/>
          <w:sz w:val="44"/>
          <w:szCs w:val="44"/>
        </w:rPr>
        <w:t>年</w:t>
      </w:r>
      <w:r>
        <w:rPr>
          <w:rFonts w:hint="eastAsia" w:ascii="Times New Roman" w:hAnsi="Times New Roman" w:eastAsia="黑体" w:cs="Times New Roman"/>
          <w:b/>
          <w:sz w:val="44"/>
          <w:szCs w:val="44"/>
          <w:u w:val="single"/>
        </w:rPr>
        <w:t xml:space="preserve">   </w:t>
      </w:r>
      <w:r>
        <w:rPr>
          <w:rFonts w:ascii="Times New Roman" w:hAnsi="Times New Roman" w:eastAsia="黑体" w:cs="Times New Roman"/>
          <w:b/>
          <w:sz w:val="44"/>
          <w:szCs w:val="44"/>
        </w:rPr>
        <w:t>月</w:t>
      </w:r>
    </w:p>
    <w:p>
      <w:pPr>
        <w:pStyle w:val="6"/>
        <w:shd w:val="clear" w:color="auto" w:fill="FFFFFF"/>
        <w:spacing w:before="0" w:beforeAutospacing="0" w:after="0" w:afterAutospacing="0" w:line="360" w:lineRule="auto"/>
        <w:ind w:firstLine="482"/>
        <w:rPr>
          <w:rFonts w:ascii="仿宋" w:hAnsi="仿宋" w:eastAsia="仿宋"/>
          <w:color w:val="333333"/>
        </w:rPr>
      </w:pPr>
      <w:r>
        <w:rPr>
          <w:rFonts w:hint="eastAsia" w:ascii="仿宋" w:hAnsi="仿宋" w:eastAsia="仿宋"/>
          <w:color w:val="333333"/>
        </w:rPr>
        <w:t>为加强本单位实验室安全管理，保障师生人身安全和财产安全，根据国家及学校相关规定，实验室负责人是本实验室安全工作的直接责任人，应落实实验室日常安全管理工作，特签订本责任书。实验室负责人承诺履行以下职责：</w:t>
      </w:r>
    </w:p>
    <w:p>
      <w:pPr>
        <w:pStyle w:val="6"/>
        <w:shd w:val="clear" w:color="auto" w:fill="FFFFFF"/>
        <w:spacing w:before="0" w:beforeAutospacing="0" w:after="0" w:afterAutospacing="0" w:line="360" w:lineRule="auto"/>
        <w:ind w:firstLine="482"/>
        <w:rPr>
          <w:rFonts w:ascii="仿宋" w:hAnsi="仿宋" w:eastAsia="仿宋"/>
          <w:color w:val="333333"/>
        </w:rPr>
      </w:pPr>
      <w:r>
        <w:rPr>
          <w:rFonts w:hint="eastAsia" w:ascii="仿宋" w:hAnsi="仿宋" w:eastAsia="仿宋"/>
          <w:color w:val="333333"/>
        </w:rPr>
        <w:t>一、树立“安全第一、预防为主、综合治理”的观念，坚持“谁使用、谁负责”的原则，提高安全意识，增强安全管理的责任心。</w:t>
      </w:r>
    </w:p>
    <w:p>
      <w:pPr>
        <w:pStyle w:val="6"/>
        <w:shd w:val="clear" w:color="auto" w:fill="FFFFFF"/>
        <w:spacing w:before="0" w:beforeAutospacing="0" w:after="0" w:afterAutospacing="0" w:line="360" w:lineRule="auto"/>
        <w:ind w:firstLine="482"/>
        <w:rPr>
          <w:rFonts w:ascii="仿宋" w:hAnsi="仿宋" w:eastAsia="仿宋"/>
          <w:color w:val="333333"/>
        </w:rPr>
      </w:pPr>
      <w:r>
        <w:rPr>
          <w:rFonts w:hint="eastAsia" w:ascii="仿宋" w:hAnsi="仿宋" w:eastAsia="仿宋"/>
          <w:color w:val="333333"/>
        </w:rPr>
        <w:t>二、积极参加各类安全教育培训，自觉学习和认真贯彻执行学校和本单位各项安全管理规章制度，配合落实学校、学院布置的实验室安全相关工作。</w:t>
      </w:r>
    </w:p>
    <w:p>
      <w:pPr>
        <w:pStyle w:val="6"/>
        <w:shd w:val="clear" w:color="auto" w:fill="FFFFFF"/>
        <w:spacing w:before="0" w:beforeAutospacing="0" w:after="0" w:afterAutospacing="0" w:line="360" w:lineRule="auto"/>
        <w:ind w:firstLine="482"/>
        <w:rPr>
          <w:rFonts w:ascii="仿宋" w:hAnsi="仿宋" w:eastAsia="仿宋"/>
          <w:color w:val="333333"/>
        </w:rPr>
      </w:pPr>
      <w:r>
        <w:rPr>
          <w:rFonts w:hint="eastAsia" w:ascii="仿宋" w:hAnsi="仿宋" w:eastAsia="仿宋"/>
          <w:color w:val="333333"/>
        </w:rPr>
        <w:t>三、负责</w:t>
      </w:r>
      <w:r>
        <w:rPr>
          <w:rFonts w:hint="eastAsia" w:ascii="仿宋" w:hAnsi="仿宋" w:eastAsia="仿宋"/>
          <w:color w:val="333333"/>
          <w:u w:val="single"/>
        </w:rPr>
        <w:t xml:space="preserve">                 </w:t>
      </w:r>
      <w:r>
        <w:rPr>
          <w:rFonts w:hint="eastAsia" w:ascii="仿宋" w:hAnsi="仿宋" w:eastAsia="仿宋"/>
          <w:color w:val="333333"/>
        </w:rPr>
        <w:t>实验室/房间的安全管理。针对本实验室，具体履行以下安全管理职责：</w:t>
      </w:r>
    </w:p>
    <w:p>
      <w:pPr>
        <w:pStyle w:val="6"/>
        <w:shd w:val="clear" w:color="auto" w:fill="FFFFFF"/>
        <w:spacing w:before="0" w:beforeAutospacing="0" w:after="0" w:afterAutospacing="0" w:line="360" w:lineRule="auto"/>
        <w:ind w:firstLine="482"/>
        <w:rPr>
          <w:rFonts w:ascii="仿宋" w:hAnsi="仿宋" w:eastAsia="仿宋"/>
          <w:color w:val="333333"/>
        </w:rPr>
      </w:pPr>
      <w:r>
        <w:rPr>
          <w:rFonts w:hint="eastAsia" w:ascii="仿宋" w:hAnsi="仿宋" w:eastAsia="仿宋"/>
          <w:color w:val="333333"/>
        </w:rPr>
        <w:t>1、制定、完善本实验室安全管理制度、安全操作规程、应急现场处置方案并张贴在醒目位置，要求实验室人员（教职工、学生、外来人员等）严格遵守实验室安全相关法律法规、规章制度。</w:t>
      </w:r>
    </w:p>
    <w:p>
      <w:pPr>
        <w:pStyle w:val="6"/>
        <w:shd w:val="clear" w:color="auto" w:fill="FFFFFF"/>
        <w:spacing w:before="0" w:beforeAutospacing="0" w:after="0" w:afterAutospacing="0" w:line="360" w:lineRule="auto"/>
        <w:ind w:firstLine="482"/>
        <w:rPr>
          <w:rFonts w:ascii="仿宋" w:hAnsi="仿宋" w:eastAsia="仿宋"/>
          <w:color w:val="333333"/>
        </w:rPr>
      </w:pPr>
      <w:r>
        <w:rPr>
          <w:rFonts w:hint="eastAsia" w:ascii="仿宋" w:hAnsi="仿宋" w:eastAsia="仿宋"/>
          <w:color w:val="333333"/>
        </w:rPr>
        <w:t>2、指定安全员负责本实验室的日常安全管理，与实验人员签订实验室安全责任/承诺书，告知实验室安全风险；对于进入实验室的外来人员应签订合同和安全协议，明确双方的安全职责。</w:t>
      </w:r>
    </w:p>
    <w:p>
      <w:pPr>
        <w:pStyle w:val="6"/>
        <w:shd w:val="clear" w:color="auto" w:fill="FFFFFF"/>
        <w:spacing w:before="0" w:beforeAutospacing="0" w:after="0" w:afterAutospacing="0" w:line="360" w:lineRule="auto"/>
        <w:ind w:firstLine="482"/>
        <w:rPr>
          <w:rFonts w:ascii="仿宋" w:hAnsi="仿宋" w:eastAsia="仿宋"/>
          <w:color w:val="333333"/>
        </w:rPr>
      </w:pPr>
      <w:r>
        <w:rPr>
          <w:rFonts w:hint="eastAsia" w:ascii="仿宋" w:hAnsi="仿宋" w:eastAsia="仿宋"/>
          <w:color w:val="333333"/>
        </w:rPr>
        <w:t>3、严格落实人员安全准入与培训，对进入本室的实验人员进行操作工艺、设备使用、试剂或气体管理等标准操作规程的培训和评估，指导其开展实验活动；禁止未通过实验室安全知识培训考试或未取得相应岗位资质的人员开展实验活动。</w:t>
      </w:r>
    </w:p>
    <w:p>
      <w:pPr>
        <w:pStyle w:val="6"/>
        <w:shd w:val="clear" w:color="auto" w:fill="FFFFFF"/>
        <w:spacing w:before="0" w:beforeAutospacing="0" w:after="0" w:afterAutospacing="0" w:line="360" w:lineRule="auto"/>
        <w:ind w:firstLine="482"/>
        <w:rPr>
          <w:rFonts w:ascii="仿宋" w:hAnsi="仿宋" w:eastAsia="仿宋"/>
          <w:color w:val="333333"/>
        </w:rPr>
      </w:pPr>
      <w:r>
        <w:rPr>
          <w:rFonts w:hint="eastAsia" w:ascii="仿宋" w:hAnsi="仿宋" w:eastAsia="仿宋"/>
          <w:color w:val="333333"/>
        </w:rPr>
        <w:t>4、实验室每周至少开展一次全面安全检查，每日安排值日人员对实验室水电气等项目日检日查，并做好安全检查记录，建立检查台账；自觉接受政府部门、学校、二级单位检查，认真完成各级检查发现隐患的整改工作；对于不能落实的整改任务要及时向所在二级学院报告，重大隐患应及时关停实验室或暂停相关实验项目。</w:t>
      </w:r>
    </w:p>
    <w:p>
      <w:pPr>
        <w:pStyle w:val="6"/>
        <w:shd w:val="clear" w:color="auto" w:fill="FFFFFF"/>
        <w:spacing w:before="0" w:beforeAutospacing="0" w:after="0" w:afterAutospacing="0" w:line="360" w:lineRule="auto"/>
        <w:ind w:firstLine="482"/>
        <w:jc w:val="both"/>
        <w:rPr>
          <w:rFonts w:ascii="仿宋" w:hAnsi="仿宋" w:eastAsia="仿宋"/>
          <w:color w:val="333333"/>
        </w:rPr>
      </w:pPr>
      <w:r>
        <w:rPr>
          <w:rFonts w:hint="eastAsia" w:ascii="仿宋" w:hAnsi="仿宋" w:eastAsia="仿宋"/>
          <w:color w:val="333333"/>
        </w:rPr>
        <w:t>5、针对本实验室危险源，配备满足实验风险要求的个人防护用品、应急物资，定期补充维护实验防护用品与装备；指导实验人员做好安全防护，定期开展应急知识学习、应急处置培训和演练，一旦发生事故，如实上报。</w:t>
      </w:r>
    </w:p>
    <w:p>
      <w:pPr>
        <w:pStyle w:val="6"/>
        <w:shd w:val="clear" w:color="auto" w:fill="FFFFFF"/>
        <w:spacing w:before="0" w:beforeAutospacing="0" w:after="0" w:afterAutospacing="0" w:line="360" w:lineRule="auto"/>
        <w:ind w:firstLine="482"/>
        <w:jc w:val="both"/>
        <w:rPr>
          <w:rFonts w:ascii="仿宋" w:hAnsi="仿宋" w:eastAsia="仿宋"/>
          <w:color w:val="333333"/>
        </w:rPr>
      </w:pPr>
      <w:r>
        <w:rPr>
          <w:rFonts w:hint="eastAsia" w:ascii="仿宋" w:hAnsi="仿宋" w:eastAsia="仿宋"/>
          <w:color w:val="333333"/>
        </w:rPr>
        <w:t>6、把好实验活动准入关，禁止实验室开展超出本实验室安全资质范围或安全保障设施以外的实验活动。</w:t>
      </w:r>
    </w:p>
    <w:p>
      <w:pPr>
        <w:pStyle w:val="6"/>
        <w:shd w:val="clear" w:color="auto" w:fill="FFFFFF"/>
        <w:spacing w:before="0" w:beforeAutospacing="0" w:after="0" w:afterAutospacing="0" w:line="360" w:lineRule="auto"/>
        <w:ind w:firstLine="482"/>
        <w:rPr>
          <w:rFonts w:ascii="仿宋" w:hAnsi="仿宋" w:eastAsia="仿宋"/>
          <w:color w:val="333333"/>
        </w:rPr>
      </w:pPr>
      <w:r>
        <w:rPr>
          <w:rFonts w:hint="eastAsia" w:ascii="仿宋" w:hAnsi="仿宋" w:eastAsia="仿宋"/>
          <w:color w:val="333333"/>
        </w:rPr>
        <w:t>7、</w:t>
      </w:r>
      <w:r>
        <w:rPr>
          <w:rFonts w:hint="eastAsia" w:ascii="仿宋" w:hAnsi="仿宋" w:eastAsia="仿宋"/>
        </w:rPr>
        <w:t>落实</w:t>
      </w:r>
      <w:r>
        <w:rPr>
          <w:rFonts w:hint="eastAsia" w:ascii="仿宋" w:hAnsi="仿宋" w:eastAsia="仿宋"/>
          <w:color w:val="333333"/>
        </w:rPr>
        <w:t>项目负责人是项目实验安全第一责任人责任。所有涉及重要危险源（</w:t>
      </w:r>
      <w:r>
        <w:rPr>
          <w:rFonts w:hint="eastAsia" w:ascii="仿宋" w:hAnsi="仿宋" w:eastAsia="仿宋"/>
          <w:color w:val="333333"/>
        </w:rPr>
        <w:t>有毒有害化学品、危险气体、动物及病原微生物、辐射源及射线装置、同位素及核材料、危险性机械加工装置、强电强磁及激光设备、特种设备等</w:t>
      </w:r>
      <w:r>
        <w:rPr>
          <w:rFonts w:hint="eastAsia" w:ascii="仿宋" w:hAnsi="仿宋" w:eastAsia="仿宋"/>
          <w:color w:val="333333"/>
        </w:rPr>
        <w:t>）的实验活动（学生实验课程、毕业设计、科研项目等）都必须要进行危险源识别、风险评估控制，制定安全管理措施和教育培训方案，未落实保障措施不能开展实验活动；对参与项目人员全员培训，依法履行安全告知义务，</w:t>
      </w:r>
      <w:r>
        <w:rPr>
          <w:rFonts w:hint="eastAsia" w:ascii="仿宋" w:hAnsi="仿宋" w:eastAsia="仿宋"/>
          <w:color w:val="333333"/>
        </w:rPr>
        <w:t>指导、审查学生针对研究选题开展实验研究所涉及安全风险的分析、防控和应急处置措施等内容。</w:t>
      </w:r>
    </w:p>
    <w:p>
      <w:pPr>
        <w:pStyle w:val="6"/>
        <w:shd w:val="clear" w:color="auto" w:fill="FFFFFF"/>
        <w:spacing w:before="0" w:beforeAutospacing="0" w:after="0" w:afterAutospacing="0" w:line="360" w:lineRule="auto"/>
        <w:ind w:firstLine="482"/>
        <w:jc w:val="both"/>
        <w:rPr>
          <w:rFonts w:ascii="仿宋" w:hAnsi="仿宋" w:eastAsia="仿宋"/>
          <w:color w:val="333333"/>
        </w:rPr>
      </w:pPr>
      <w:r>
        <w:rPr>
          <w:rFonts w:hint="eastAsia" w:ascii="仿宋" w:hAnsi="仿宋" w:eastAsia="仿宋"/>
          <w:color w:val="333333"/>
        </w:rPr>
        <w:t>8、做好危险化学品等危险源的全生命周期安全管理，杜绝未经审批或者从资质不全的公司采购危化品、气体、病原微生物、放射源、射线装置、特种设备等危险源；严格执行政府相关部门对危险源管理要求，落实专人负责、分类存放、上锁管理、台账记录等措施；按照规定对各类实验废弃物进行分类收集、统一处置，禁止非法排放。</w:t>
      </w:r>
    </w:p>
    <w:p>
      <w:pPr>
        <w:pStyle w:val="6"/>
        <w:shd w:val="clear" w:color="auto" w:fill="FFFFFF"/>
        <w:spacing w:before="0" w:beforeAutospacing="0" w:after="0" w:afterAutospacing="0" w:line="360" w:lineRule="auto"/>
        <w:ind w:firstLine="482"/>
        <w:rPr>
          <w:rFonts w:ascii="仿宋" w:hAnsi="仿宋" w:eastAsia="仿宋"/>
          <w:color w:val="333333"/>
        </w:rPr>
      </w:pPr>
      <w:r>
        <w:rPr>
          <w:rFonts w:hint="eastAsia" w:ascii="仿宋" w:hAnsi="仿宋" w:eastAsia="仿宋"/>
          <w:color w:val="333333"/>
        </w:rPr>
        <w:t>四、责任追究</w:t>
      </w:r>
    </w:p>
    <w:p>
      <w:pPr>
        <w:pStyle w:val="6"/>
        <w:shd w:val="clear" w:color="auto" w:fill="FFFFFF"/>
        <w:spacing w:before="0" w:beforeAutospacing="0" w:after="0" w:afterAutospacing="0" w:line="360" w:lineRule="auto"/>
        <w:ind w:firstLine="482"/>
        <w:rPr>
          <w:rFonts w:ascii="仿宋" w:hAnsi="仿宋" w:eastAsia="仿宋"/>
          <w:color w:val="333333"/>
        </w:rPr>
      </w:pPr>
      <w:r>
        <w:rPr>
          <w:rFonts w:hint="eastAsia" w:ascii="仿宋" w:hAnsi="仿宋" w:eastAsia="仿宋"/>
          <w:color w:val="333333"/>
        </w:rPr>
        <w:t>1、本责任书所包含的职责任务，作为考核及政绩评价的依据，与责任人的业绩评定、职务晋升、评优评先等挂钩。</w:t>
      </w:r>
    </w:p>
    <w:p>
      <w:pPr>
        <w:pStyle w:val="6"/>
        <w:shd w:val="clear" w:color="auto" w:fill="FFFFFF"/>
        <w:spacing w:before="0" w:beforeAutospacing="0" w:after="0" w:afterAutospacing="0" w:line="360" w:lineRule="auto"/>
        <w:ind w:firstLine="482"/>
        <w:rPr>
          <w:rFonts w:ascii="仿宋" w:hAnsi="仿宋" w:eastAsia="仿宋"/>
          <w:color w:val="333333"/>
        </w:rPr>
      </w:pPr>
      <w:r>
        <w:rPr>
          <w:rFonts w:hint="eastAsia" w:ascii="仿宋" w:hAnsi="仿宋" w:eastAsia="仿宋"/>
          <w:color w:val="333333"/>
        </w:rPr>
        <w:t>2、对未认真履行实验室安全管理职责或者违反安全管理规定造成安全事故的，按教育部、学校和二级单位有关管理规定追究责任人和当事人的责任。</w:t>
      </w:r>
    </w:p>
    <w:p>
      <w:pPr>
        <w:spacing w:line="440" w:lineRule="exact"/>
        <w:ind w:firstLine="480" w:firstLineChars="200"/>
        <w:rPr>
          <w:rFonts w:ascii="仿宋" w:hAnsi="仿宋" w:eastAsia="仿宋" w:cs="宋体"/>
          <w:color w:val="333333"/>
          <w:kern w:val="0"/>
          <w:sz w:val="24"/>
          <w:szCs w:val="24"/>
        </w:rPr>
      </w:pPr>
      <w:r>
        <w:rPr>
          <w:rFonts w:hint="eastAsia" w:ascii="仿宋" w:hAnsi="仿宋" w:eastAsia="仿宋" w:cs="宋体"/>
          <w:color w:val="333333"/>
          <w:kern w:val="0"/>
          <w:sz w:val="24"/>
          <w:szCs w:val="24"/>
        </w:rPr>
        <w:t>五、本责任书一式两份，二级单位、实验室负责人各一份，从签字之日起生效，有效期一年。</w:t>
      </w:r>
    </w:p>
    <w:p>
      <w:pPr>
        <w:spacing w:line="440" w:lineRule="exact"/>
        <w:ind w:firstLine="562" w:firstLineChars="200"/>
        <w:rPr>
          <w:rFonts w:ascii="仿宋" w:hAnsi="仿宋" w:eastAsia="仿宋" w:cs="宋体"/>
          <w:b/>
          <w:bCs/>
          <w:sz w:val="28"/>
          <w:szCs w:val="28"/>
        </w:rPr>
      </w:pPr>
      <w:r>
        <w:rPr>
          <w:rFonts w:hint="eastAsia" w:ascii="仿宋" w:hAnsi="仿宋" w:eastAsia="仿宋" w:cs="宋体"/>
          <w:b/>
          <w:bCs/>
          <w:sz w:val="28"/>
          <w:szCs w:val="28"/>
        </w:rPr>
        <w:t>二级单位（单位盖章）</w:t>
      </w:r>
    </w:p>
    <w:p>
      <w:pPr>
        <w:spacing w:line="440" w:lineRule="exact"/>
        <w:ind w:firstLine="562" w:firstLineChars="200"/>
        <w:rPr>
          <w:rFonts w:ascii="仿宋" w:hAnsi="仿宋" w:eastAsia="仿宋" w:cs="宋体"/>
          <w:b/>
          <w:bCs/>
          <w:sz w:val="28"/>
          <w:szCs w:val="28"/>
        </w:rPr>
      </w:pPr>
    </w:p>
    <w:p>
      <w:pPr>
        <w:spacing w:line="440" w:lineRule="exact"/>
        <w:ind w:firstLine="480" w:firstLineChars="200"/>
        <w:rPr>
          <w:rFonts w:ascii="仿宋" w:hAnsi="仿宋" w:eastAsia="仿宋" w:cs="宋体"/>
          <w:sz w:val="24"/>
          <w:szCs w:val="28"/>
        </w:rPr>
      </w:pPr>
      <w:r>
        <w:rPr>
          <w:rFonts w:hint="eastAsia" w:ascii="仿宋" w:hAnsi="仿宋" w:eastAsia="仿宋" w:cs="宋体"/>
          <w:sz w:val="24"/>
          <w:szCs w:val="28"/>
        </w:rPr>
        <w:t xml:space="preserve">实验室安全第一责任人（书记）：   </w:t>
      </w:r>
    </w:p>
    <w:p>
      <w:pPr>
        <w:spacing w:line="440" w:lineRule="exact"/>
        <w:ind w:firstLine="480" w:firstLineChars="200"/>
        <w:rPr>
          <w:rFonts w:ascii="仿宋" w:hAnsi="仿宋" w:eastAsia="仿宋" w:cs="宋体"/>
          <w:sz w:val="24"/>
          <w:szCs w:val="28"/>
        </w:rPr>
      </w:pPr>
    </w:p>
    <w:p>
      <w:pPr>
        <w:pStyle w:val="6"/>
        <w:shd w:val="clear" w:color="auto" w:fill="FFFFFF"/>
        <w:spacing w:before="0" w:beforeAutospacing="0" w:after="0" w:afterAutospacing="0" w:line="315" w:lineRule="atLeast"/>
        <w:ind w:firstLine="480"/>
        <w:rPr>
          <w:rFonts w:ascii="仿宋" w:hAnsi="仿宋" w:eastAsia="仿宋"/>
          <w:sz w:val="28"/>
          <w:szCs w:val="28"/>
        </w:rPr>
      </w:pPr>
      <w:r>
        <w:rPr>
          <w:rFonts w:hint="eastAsia" w:ascii="仿宋" w:hAnsi="仿宋" w:eastAsia="仿宋"/>
          <w:szCs w:val="28"/>
        </w:rPr>
        <w:t>实验室安全第一责任人（院长）：</w:t>
      </w:r>
    </w:p>
    <w:p>
      <w:pPr>
        <w:pStyle w:val="6"/>
        <w:shd w:val="clear" w:color="auto" w:fill="FFFFFF"/>
        <w:spacing w:before="0" w:beforeAutospacing="0" w:after="0" w:afterAutospacing="0" w:line="315" w:lineRule="atLeast"/>
        <w:ind w:firstLine="480"/>
        <w:rPr>
          <w:rFonts w:ascii="微软雅黑" w:hAnsi="微软雅黑" w:eastAsia="微软雅黑"/>
          <w:color w:val="333333"/>
        </w:rPr>
      </w:pPr>
      <w:r>
        <w:rPr>
          <w:rFonts w:ascii="仿宋" w:hAnsi="仿宋" w:eastAsia="仿宋"/>
          <w:sz w:val="28"/>
          <w:szCs w:val="28"/>
        </w:rPr>
        <mc:AlternateContent>
          <mc:Choice Requires="wps">
            <w:drawing>
              <wp:anchor distT="0" distB="0" distL="114300" distR="114300" simplePos="0" relativeHeight="251659264" behindDoc="0" locked="0" layoutInCell="1" allowOverlap="1">
                <wp:simplePos x="0" y="0"/>
                <wp:positionH relativeFrom="column">
                  <wp:posOffset>263525</wp:posOffset>
                </wp:positionH>
                <wp:positionV relativeFrom="paragraph">
                  <wp:posOffset>173355</wp:posOffset>
                </wp:positionV>
                <wp:extent cx="5219700" cy="0"/>
                <wp:effectExtent l="0" t="0" r="0" b="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line">
                          <a:avLst/>
                        </a:prstGeom>
                        <a:noFill/>
                        <a:ln w="12700">
                          <a:solidFill>
                            <a:srgbClr val="000000"/>
                          </a:solidFill>
                          <a:prstDash val="sysDot"/>
                          <a:miter lim="800000"/>
                        </a:ln>
                        <a:effectLst/>
                      </wps:spPr>
                      <wps:bodyPr/>
                    </wps:wsp>
                  </a:graphicData>
                </a:graphic>
              </wp:anchor>
            </w:drawing>
          </mc:Choice>
          <mc:Fallback>
            <w:pict>
              <v:line id="Line 2" o:spid="_x0000_s1026" o:spt="20" style="position:absolute;left:0pt;margin-left:20.75pt;margin-top:13.65pt;height:0pt;width:411pt;z-index:251659264;mso-width-relative:page;mso-height-relative:page;" filled="f" stroked="t" coordsize="21600,21600" o:gfxdata="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PgG2dcAAAAIAQAADwAAAAAA&#10;AAABACAAAAAiAAAAZHJzL2Rvd25yZXYueG1sUEsBAhQAFAAAAAgAh07iQMZqE6bbAQAA1QMAAA4A&#10;AAAAAAAAAQAgAAAAJgEAAGRycy9lMm9Eb2MueG1sUEsFBgAAAAAGAAYAWQEAAHMFAAAAAA==&#10;">
                <v:fill on="f" focussize="0,0"/>
                <v:stroke weight="1pt" color="#000000" miterlimit="8" joinstyle="miter" dashstyle="1 1"/>
                <v:imagedata o:title=""/>
                <o:lock v:ext="edit" aspectratio="f"/>
              </v:line>
            </w:pict>
          </mc:Fallback>
        </mc:AlternateContent>
      </w:r>
    </w:p>
    <w:p>
      <w:pPr>
        <w:pStyle w:val="6"/>
        <w:shd w:val="clear" w:color="auto" w:fill="FFFFFF"/>
        <w:spacing w:before="0" w:beforeAutospacing="0" w:after="0" w:afterAutospacing="0" w:line="315" w:lineRule="atLeast"/>
        <w:ind w:firstLine="480" w:firstLineChars="200"/>
        <w:rPr>
          <w:rFonts w:ascii="微软雅黑" w:hAnsi="微软雅黑" w:eastAsia="微软雅黑"/>
          <w:color w:val="333333"/>
        </w:rPr>
      </w:pPr>
      <w:r>
        <w:rPr>
          <w:rFonts w:hint="eastAsia" w:ascii="仿宋_GB2312" w:hAnsi="微软雅黑" w:eastAsia="仿宋_GB2312"/>
          <w:color w:val="333333"/>
        </w:rPr>
        <w:t xml:space="preserve">实验室负责人（签名）： </w:t>
      </w:r>
    </w:p>
    <w:p>
      <w:pPr>
        <w:pStyle w:val="6"/>
        <w:shd w:val="clear" w:color="auto" w:fill="FFFFFF"/>
        <w:spacing w:before="0" w:beforeAutospacing="0" w:after="0" w:afterAutospacing="0" w:line="315" w:lineRule="atLeast"/>
        <w:rPr>
          <w:rFonts w:ascii="微软雅黑" w:hAnsi="微软雅黑" w:eastAsia="微软雅黑"/>
          <w:color w:val="333333"/>
        </w:rPr>
      </w:pPr>
      <w:r>
        <w:rPr>
          <w:rFonts w:hint="eastAsia" w:ascii="仿宋_GB2312" w:hAnsi="微软雅黑" w:eastAsia="仿宋_GB2312"/>
          <w:color w:val="333333"/>
        </w:rPr>
        <w:t>               </w:t>
      </w:r>
    </w:p>
    <w:p>
      <w:pPr>
        <w:pStyle w:val="6"/>
        <w:shd w:val="clear" w:color="auto" w:fill="FFFFFF"/>
        <w:spacing w:before="0" w:beforeAutospacing="0" w:after="0" w:afterAutospacing="0" w:line="315" w:lineRule="atLeast"/>
        <w:ind w:firstLine="960"/>
        <w:jc w:val="right"/>
        <w:rPr>
          <w:rFonts w:ascii="微软雅黑" w:hAnsi="微软雅黑" w:eastAsia="微软雅黑"/>
          <w:color w:val="333333"/>
        </w:rPr>
      </w:pPr>
      <w:r>
        <w:rPr>
          <w:rFonts w:hint="eastAsia" w:ascii="仿宋_GB2312" w:hAnsi="微软雅黑" w:eastAsia="仿宋_GB2312"/>
          <w:color w:val="333333"/>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标宋_GBK">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631"/>
    <w:rsid w:val="00004F11"/>
    <w:rsid w:val="00103C97"/>
    <w:rsid w:val="00164086"/>
    <w:rsid w:val="001F7A0A"/>
    <w:rsid w:val="0027414C"/>
    <w:rsid w:val="002B31C0"/>
    <w:rsid w:val="002C7A6C"/>
    <w:rsid w:val="004B18F2"/>
    <w:rsid w:val="005B6303"/>
    <w:rsid w:val="005E1B34"/>
    <w:rsid w:val="005F3D4E"/>
    <w:rsid w:val="00627C1C"/>
    <w:rsid w:val="00706027"/>
    <w:rsid w:val="00771E09"/>
    <w:rsid w:val="00807FC7"/>
    <w:rsid w:val="00876F38"/>
    <w:rsid w:val="008F506F"/>
    <w:rsid w:val="009750A7"/>
    <w:rsid w:val="00981F0F"/>
    <w:rsid w:val="00991BD1"/>
    <w:rsid w:val="009A41CA"/>
    <w:rsid w:val="009A468A"/>
    <w:rsid w:val="009B65BC"/>
    <w:rsid w:val="009E1ADF"/>
    <w:rsid w:val="00A47719"/>
    <w:rsid w:val="00A91DDC"/>
    <w:rsid w:val="00AF3C87"/>
    <w:rsid w:val="00B63BF8"/>
    <w:rsid w:val="00B86631"/>
    <w:rsid w:val="00B966F2"/>
    <w:rsid w:val="00C41DAD"/>
    <w:rsid w:val="00C966C7"/>
    <w:rsid w:val="00CD1429"/>
    <w:rsid w:val="00CE6E1C"/>
    <w:rsid w:val="00D81A9E"/>
    <w:rsid w:val="00DC3EE4"/>
    <w:rsid w:val="00E23FB3"/>
    <w:rsid w:val="00F215D6"/>
    <w:rsid w:val="00FA269C"/>
    <w:rsid w:val="18F61D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line="576" w:lineRule="auto"/>
      <w:outlineLvl w:val="0"/>
    </w:pPr>
    <w:rPr>
      <w:b/>
      <w:kern w:val="44"/>
      <w:sz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character" w:customStyle="1" w:styleId="13">
    <w:name w:val="标题 1 Char"/>
    <w:basedOn w:val="8"/>
    <w:link w:val="2"/>
    <w:qFormat/>
    <w:uiPriority w:val="9"/>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1446</Words>
  <Characters>1446</Characters>
  <Lines>11</Lines>
  <Paragraphs>3</Paragraphs>
  <TotalTime>28</TotalTime>
  <ScaleCrop>false</ScaleCrop>
  <LinksUpToDate>false</LinksUpToDate>
  <CharactersWithSpaces>1512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石俊枝</dc:creator>
  <cp:lastModifiedBy>WPS_1665043489</cp:lastModifiedBy>
  <dcterms:modified xsi:type="dcterms:W3CDTF">2023-11-21T02:47:29Z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772DDD431ED1457081051DE0028E057A</vt:lpwstr>
  </property>
</Properties>
</file>